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96" w:rsidRDefault="00454B96" w:rsidP="00454B96">
      <w:pPr>
        <w:spacing w:line="600" w:lineRule="exact"/>
        <w:jc w:val="left"/>
        <w:rPr>
          <w:rFonts w:ascii="黑体" w:eastAsia="黑体" w:hAnsi="Calibri" w:cs="Arial"/>
          <w:kern w:val="0"/>
          <w:sz w:val="32"/>
          <w:szCs w:val="32"/>
        </w:rPr>
      </w:pPr>
      <w:r>
        <w:rPr>
          <w:rFonts w:ascii="黑体" w:eastAsia="黑体" w:hAnsi="Calibri" w:cs="Arial" w:hint="eastAsia"/>
          <w:kern w:val="0"/>
          <w:sz w:val="32"/>
          <w:szCs w:val="32"/>
        </w:rPr>
        <w:t>附件1</w:t>
      </w:r>
    </w:p>
    <w:p w:rsidR="00454B96" w:rsidRDefault="00454B96" w:rsidP="00454B96">
      <w:pPr>
        <w:spacing w:line="600" w:lineRule="exact"/>
        <w:jc w:val="center"/>
        <w:rPr>
          <w:rFonts w:ascii="华文中宋" w:eastAsia="华文中宋" w:hAnsi="Calibri" w:cs="Arial"/>
          <w:kern w:val="0"/>
          <w:szCs w:val="36"/>
        </w:rPr>
      </w:pPr>
      <w:r>
        <w:rPr>
          <w:rFonts w:ascii="华文中宋" w:eastAsia="华文中宋" w:hAnsi="Calibri" w:cs="Arial" w:hint="eastAsia"/>
          <w:kern w:val="0"/>
          <w:szCs w:val="36"/>
        </w:rPr>
        <w:t>XX年辖区煤矿分类情况表</w:t>
      </w:r>
    </w:p>
    <w:p w:rsidR="00454B96" w:rsidRDefault="00454B96" w:rsidP="00821A28">
      <w:pPr>
        <w:ind w:rightChars="-330" w:right="-1201"/>
        <w:jc w:val="left"/>
        <w:rPr>
          <w:rFonts w:ascii="Calibri" w:eastAsia="仿宋" w:hAnsi="Calibri" w:cs="Arial"/>
          <w:kern w:val="0"/>
          <w:sz w:val="24"/>
          <w:szCs w:val="21"/>
        </w:rPr>
      </w:pPr>
      <w:r>
        <w:rPr>
          <w:rFonts w:ascii="Calibri" w:hAnsi="Calibri" w:cs="Arial" w:hint="eastAsia"/>
          <w:kern w:val="0"/>
          <w:sz w:val="24"/>
          <w:szCs w:val="21"/>
        </w:rPr>
        <w:t>单位（盖章）：</w:t>
      </w:r>
      <w:r>
        <w:rPr>
          <w:rFonts w:ascii="Calibri" w:hAnsi="Calibri" w:cs="Arial"/>
          <w:kern w:val="0"/>
          <w:sz w:val="24"/>
          <w:szCs w:val="21"/>
          <w:u w:val="single"/>
        </w:rPr>
        <w:t xml:space="preserve">                     </w:t>
      </w:r>
    </w:p>
    <w:tbl>
      <w:tblPr>
        <w:tblW w:w="0" w:type="auto"/>
        <w:tblBorders>
          <w:top w:val="single" w:sz="8" w:space="0" w:color="000000"/>
          <w:bottom w:val="single" w:sz="8" w:space="0" w:color="000000"/>
          <w:insideH w:val="single" w:sz="4" w:space="0" w:color="000000"/>
          <w:insideV w:val="single" w:sz="4" w:space="0" w:color="000000"/>
        </w:tblBorders>
        <w:tblLayout w:type="fixed"/>
        <w:tblLook w:val="0000"/>
      </w:tblPr>
      <w:tblGrid>
        <w:gridCol w:w="1270"/>
        <w:gridCol w:w="1741"/>
        <w:gridCol w:w="2174"/>
        <w:gridCol w:w="2605"/>
        <w:gridCol w:w="4028"/>
        <w:gridCol w:w="2356"/>
      </w:tblGrid>
      <w:tr w:rsidR="00454B96" w:rsidTr="000E7A53">
        <w:tc>
          <w:tcPr>
            <w:tcW w:w="1270" w:type="dxa"/>
            <w:tcBorders>
              <w:top w:val="single" w:sz="8" w:space="0" w:color="000000"/>
              <w:left w:val="nil"/>
              <w:bottom w:val="single" w:sz="8" w:space="0" w:color="000000"/>
              <w:right w:val="single" w:sz="4" w:space="0" w:color="000000"/>
            </w:tcBorders>
            <w:vAlign w:val="center"/>
          </w:tcPr>
          <w:p w:rsidR="00454B96" w:rsidRDefault="00454B96" w:rsidP="000E7A53">
            <w:pPr>
              <w:spacing w:line="400" w:lineRule="exact"/>
              <w:jc w:val="center"/>
              <w:rPr>
                <w:rFonts w:ascii="黑体" w:eastAsia="黑体" w:hAnsi="Calibri" w:cs="Arial"/>
                <w:kern w:val="0"/>
                <w:sz w:val="24"/>
                <w:szCs w:val="22"/>
              </w:rPr>
            </w:pPr>
            <w:r>
              <w:rPr>
                <w:rFonts w:ascii="黑体" w:eastAsia="黑体" w:hAnsi="Calibri" w:cs="Arial" w:hint="eastAsia"/>
                <w:kern w:val="0"/>
                <w:sz w:val="24"/>
                <w:szCs w:val="22"/>
              </w:rPr>
              <w:t>序号</w:t>
            </w:r>
          </w:p>
        </w:tc>
        <w:tc>
          <w:tcPr>
            <w:tcW w:w="1741" w:type="dxa"/>
            <w:tcBorders>
              <w:top w:val="single" w:sz="8" w:space="0" w:color="000000"/>
              <w:left w:val="single" w:sz="4" w:space="0" w:color="000000"/>
              <w:bottom w:val="single" w:sz="8" w:space="0" w:color="000000"/>
              <w:right w:val="single" w:sz="4" w:space="0" w:color="000000"/>
            </w:tcBorders>
            <w:vAlign w:val="center"/>
          </w:tcPr>
          <w:p w:rsidR="00454B96" w:rsidRDefault="00454B96" w:rsidP="000E7A53">
            <w:pPr>
              <w:spacing w:line="400" w:lineRule="exact"/>
              <w:jc w:val="center"/>
              <w:rPr>
                <w:rFonts w:ascii="黑体" w:eastAsia="黑体" w:hAnsi="Calibri" w:cs="Arial"/>
                <w:kern w:val="0"/>
                <w:sz w:val="24"/>
                <w:szCs w:val="22"/>
              </w:rPr>
            </w:pPr>
            <w:r>
              <w:rPr>
                <w:rFonts w:ascii="黑体" w:eastAsia="黑体" w:hAnsi="Calibri" w:cs="Arial" w:hint="eastAsia"/>
                <w:kern w:val="0"/>
                <w:sz w:val="24"/>
                <w:szCs w:val="22"/>
              </w:rPr>
              <w:t>煤矿</w:t>
            </w:r>
          </w:p>
          <w:p w:rsidR="00454B96" w:rsidRDefault="00454B96" w:rsidP="000E7A53">
            <w:pPr>
              <w:spacing w:line="400" w:lineRule="exact"/>
              <w:jc w:val="center"/>
              <w:rPr>
                <w:rFonts w:ascii="黑体" w:eastAsia="黑体" w:hAnsi="Calibri" w:cs="Arial"/>
                <w:kern w:val="0"/>
                <w:sz w:val="24"/>
                <w:szCs w:val="22"/>
              </w:rPr>
            </w:pPr>
            <w:r>
              <w:rPr>
                <w:rFonts w:ascii="黑体" w:eastAsia="黑体" w:hAnsi="Calibri" w:cs="Arial" w:hint="eastAsia"/>
                <w:kern w:val="0"/>
                <w:sz w:val="24"/>
                <w:szCs w:val="22"/>
              </w:rPr>
              <w:t>分类</w:t>
            </w:r>
          </w:p>
        </w:tc>
        <w:tc>
          <w:tcPr>
            <w:tcW w:w="2174" w:type="dxa"/>
            <w:tcBorders>
              <w:top w:val="single" w:sz="8" w:space="0" w:color="000000"/>
              <w:left w:val="single" w:sz="4" w:space="0" w:color="000000"/>
              <w:bottom w:val="single" w:sz="8" w:space="0" w:color="000000"/>
              <w:right w:val="single" w:sz="4" w:space="0" w:color="000000"/>
            </w:tcBorders>
            <w:vAlign w:val="center"/>
          </w:tcPr>
          <w:p w:rsidR="00454B96" w:rsidRDefault="00454B96" w:rsidP="000E7A53">
            <w:pPr>
              <w:spacing w:line="400" w:lineRule="exact"/>
              <w:jc w:val="center"/>
              <w:rPr>
                <w:rFonts w:ascii="黑体" w:eastAsia="黑体" w:hAnsi="Calibri" w:cs="Arial"/>
                <w:kern w:val="0"/>
                <w:sz w:val="24"/>
                <w:szCs w:val="22"/>
              </w:rPr>
            </w:pPr>
            <w:r>
              <w:rPr>
                <w:rFonts w:ascii="黑体" w:eastAsia="黑体" w:hAnsi="Calibri" w:cs="Arial" w:hint="eastAsia"/>
                <w:kern w:val="0"/>
                <w:sz w:val="24"/>
                <w:szCs w:val="22"/>
              </w:rPr>
              <w:t>煤矿数量（处）</w:t>
            </w:r>
          </w:p>
        </w:tc>
        <w:tc>
          <w:tcPr>
            <w:tcW w:w="2605" w:type="dxa"/>
            <w:tcBorders>
              <w:top w:val="single" w:sz="8" w:space="0" w:color="000000"/>
              <w:left w:val="single" w:sz="4" w:space="0" w:color="000000"/>
              <w:bottom w:val="single" w:sz="8" w:space="0" w:color="000000"/>
              <w:right w:val="single" w:sz="4" w:space="0" w:color="000000"/>
            </w:tcBorders>
            <w:vAlign w:val="center"/>
          </w:tcPr>
          <w:p w:rsidR="00454B96" w:rsidRDefault="00454B96" w:rsidP="000E7A53">
            <w:pPr>
              <w:spacing w:line="400" w:lineRule="exact"/>
              <w:jc w:val="center"/>
              <w:rPr>
                <w:rFonts w:ascii="黑体" w:eastAsia="黑体" w:hAnsi="Calibri" w:cs="Arial"/>
                <w:kern w:val="0"/>
                <w:sz w:val="24"/>
                <w:szCs w:val="22"/>
              </w:rPr>
            </w:pPr>
            <w:r>
              <w:rPr>
                <w:rFonts w:ascii="黑体" w:eastAsia="黑体" w:hAnsi="Calibri" w:cs="Arial" w:hint="eastAsia"/>
                <w:kern w:val="0"/>
                <w:sz w:val="24"/>
                <w:szCs w:val="22"/>
              </w:rPr>
              <w:t>煤矿生产能力（万t/a）</w:t>
            </w:r>
          </w:p>
        </w:tc>
        <w:tc>
          <w:tcPr>
            <w:tcW w:w="4028" w:type="dxa"/>
            <w:tcBorders>
              <w:top w:val="single" w:sz="8" w:space="0" w:color="000000"/>
              <w:left w:val="single" w:sz="4" w:space="0" w:color="000000"/>
              <w:bottom w:val="single" w:sz="8" w:space="0" w:color="000000"/>
              <w:right w:val="single" w:sz="4" w:space="0" w:color="000000"/>
            </w:tcBorders>
            <w:vAlign w:val="center"/>
          </w:tcPr>
          <w:p w:rsidR="00454B96" w:rsidRDefault="00454B96" w:rsidP="000E7A53">
            <w:pPr>
              <w:spacing w:line="400" w:lineRule="exact"/>
              <w:jc w:val="center"/>
              <w:rPr>
                <w:rFonts w:ascii="黑体" w:eastAsia="黑体" w:hAnsi="Calibri" w:cs="Arial"/>
                <w:kern w:val="0"/>
                <w:sz w:val="24"/>
                <w:szCs w:val="22"/>
              </w:rPr>
            </w:pPr>
            <w:r>
              <w:rPr>
                <w:rFonts w:ascii="黑体" w:eastAsia="黑体" w:hAnsi="Calibri" w:cs="Arial" w:hint="eastAsia"/>
                <w:kern w:val="0"/>
                <w:sz w:val="24"/>
                <w:szCs w:val="22"/>
              </w:rPr>
              <w:t>监管重点内容</w:t>
            </w:r>
          </w:p>
        </w:tc>
        <w:tc>
          <w:tcPr>
            <w:tcW w:w="2356" w:type="dxa"/>
            <w:tcBorders>
              <w:top w:val="single" w:sz="8" w:space="0" w:color="000000"/>
              <w:left w:val="single" w:sz="4" w:space="0" w:color="000000"/>
              <w:bottom w:val="single" w:sz="8" w:space="0" w:color="000000"/>
              <w:right w:val="nil"/>
            </w:tcBorders>
            <w:vAlign w:val="center"/>
          </w:tcPr>
          <w:p w:rsidR="00454B96" w:rsidRDefault="00454B96" w:rsidP="000E7A53">
            <w:pPr>
              <w:spacing w:line="400" w:lineRule="exact"/>
              <w:jc w:val="center"/>
              <w:rPr>
                <w:rFonts w:ascii="黑体" w:eastAsia="黑体" w:hAnsi="Calibri" w:cs="Arial"/>
                <w:kern w:val="0"/>
                <w:sz w:val="24"/>
                <w:szCs w:val="22"/>
              </w:rPr>
            </w:pPr>
            <w:r>
              <w:rPr>
                <w:rFonts w:ascii="黑体" w:eastAsia="黑体" w:hAnsi="Calibri" w:cs="Arial" w:hint="eastAsia"/>
                <w:kern w:val="0"/>
                <w:sz w:val="24"/>
                <w:szCs w:val="22"/>
              </w:rPr>
              <w:t>监管执法周期</w:t>
            </w:r>
          </w:p>
        </w:tc>
      </w:tr>
      <w:tr w:rsidR="00454B96" w:rsidTr="000E7A53">
        <w:tc>
          <w:tcPr>
            <w:tcW w:w="1270" w:type="dxa"/>
            <w:tcBorders>
              <w:top w:val="single" w:sz="8" w:space="0" w:color="000000"/>
              <w:left w:val="nil"/>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r>
              <w:rPr>
                <w:rFonts w:ascii="仿宋_GB2312" w:hAnsi="仿宋_GB2312" w:cs="Arial" w:hint="eastAsia"/>
                <w:kern w:val="0"/>
                <w:sz w:val="24"/>
                <w:szCs w:val="22"/>
              </w:rPr>
              <w:t>合计</w:t>
            </w:r>
          </w:p>
        </w:tc>
        <w:tc>
          <w:tcPr>
            <w:tcW w:w="1741" w:type="dxa"/>
            <w:tcBorders>
              <w:top w:val="single" w:sz="8"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r>
              <w:rPr>
                <w:rFonts w:ascii="仿宋_GB2312" w:hAnsi="仿宋_GB2312" w:cs="Arial" w:hint="eastAsia"/>
                <w:kern w:val="0"/>
                <w:sz w:val="24"/>
                <w:szCs w:val="22"/>
              </w:rPr>
              <w:t>——</w:t>
            </w:r>
          </w:p>
        </w:tc>
        <w:tc>
          <w:tcPr>
            <w:tcW w:w="2174" w:type="dxa"/>
            <w:tcBorders>
              <w:top w:val="single" w:sz="8"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605" w:type="dxa"/>
            <w:tcBorders>
              <w:top w:val="single" w:sz="8"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4028" w:type="dxa"/>
            <w:tcBorders>
              <w:top w:val="single" w:sz="8"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r>
              <w:rPr>
                <w:rFonts w:ascii="仿宋_GB2312" w:hAnsi="仿宋_GB2312" w:cs="Arial" w:hint="eastAsia"/>
                <w:kern w:val="0"/>
                <w:sz w:val="24"/>
                <w:szCs w:val="22"/>
              </w:rPr>
              <w:t>——</w:t>
            </w:r>
          </w:p>
        </w:tc>
        <w:tc>
          <w:tcPr>
            <w:tcW w:w="2356" w:type="dxa"/>
            <w:tcBorders>
              <w:top w:val="single" w:sz="8" w:space="0" w:color="000000"/>
              <w:left w:val="single" w:sz="4" w:space="0" w:color="000000"/>
              <w:bottom w:val="single" w:sz="4" w:space="0" w:color="000000"/>
              <w:right w:val="nil"/>
            </w:tcBorders>
            <w:vAlign w:val="center"/>
          </w:tcPr>
          <w:p w:rsidR="00454B96" w:rsidRDefault="00454B96" w:rsidP="000E7A53">
            <w:pPr>
              <w:spacing w:line="600" w:lineRule="exact"/>
              <w:jc w:val="center"/>
              <w:rPr>
                <w:rFonts w:ascii="仿宋_GB2312" w:hAnsi="Calibri" w:cs="Arial"/>
                <w:kern w:val="0"/>
                <w:sz w:val="24"/>
                <w:szCs w:val="22"/>
              </w:rPr>
            </w:pPr>
            <w:r>
              <w:rPr>
                <w:rFonts w:ascii="仿宋_GB2312" w:hAnsi="仿宋_GB2312" w:cs="Arial" w:hint="eastAsia"/>
                <w:kern w:val="0"/>
                <w:sz w:val="24"/>
                <w:szCs w:val="22"/>
              </w:rPr>
              <w:t>——</w:t>
            </w:r>
          </w:p>
        </w:tc>
      </w:tr>
      <w:tr w:rsidR="00454B96" w:rsidTr="000E7A53">
        <w:tc>
          <w:tcPr>
            <w:tcW w:w="1270" w:type="dxa"/>
            <w:tcBorders>
              <w:top w:val="single" w:sz="4" w:space="0" w:color="000000"/>
              <w:left w:val="nil"/>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r>
              <w:rPr>
                <w:rFonts w:ascii="仿宋_GB2312" w:hAnsi="仿宋_GB2312" w:cs="Arial" w:hint="eastAsia"/>
                <w:kern w:val="0"/>
                <w:sz w:val="24"/>
                <w:szCs w:val="22"/>
              </w:rPr>
              <w:t>1</w:t>
            </w:r>
          </w:p>
        </w:tc>
        <w:tc>
          <w:tcPr>
            <w:tcW w:w="1741"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4028"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356" w:type="dxa"/>
            <w:tcBorders>
              <w:top w:val="single" w:sz="4" w:space="0" w:color="000000"/>
              <w:left w:val="single" w:sz="4" w:space="0" w:color="000000"/>
              <w:bottom w:val="single" w:sz="4" w:space="0" w:color="000000"/>
              <w:right w:val="nil"/>
            </w:tcBorders>
            <w:vAlign w:val="center"/>
          </w:tcPr>
          <w:p w:rsidR="00454B96" w:rsidRDefault="00454B96" w:rsidP="000E7A53">
            <w:pPr>
              <w:spacing w:line="600" w:lineRule="exact"/>
              <w:jc w:val="center"/>
              <w:rPr>
                <w:rFonts w:ascii="仿宋_GB2312" w:hAnsi="Calibri" w:cs="Arial"/>
                <w:kern w:val="0"/>
                <w:sz w:val="24"/>
                <w:szCs w:val="22"/>
              </w:rPr>
            </w:pPr>
          </w:p>
        </w:tc>
      </w:tr>
      <w:tr w:rsidR="00454B96" w:rsidTr="000E7A53">
        <w:tc>
          <w:tcPr>
            <w:tcW w:w="1270" w:type="dxa"/>
            <w:tcBorders>
              <w:top w:val="single" w:sz="4" w:space="0" w:color="000000"/>
              <w:left w:val="nil"/>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r>
              <w:rPr>
                <w:rFonts w:ascii="仿宋_GB2312" w:hAnsi="仿宋_GB2312" w:cs="Arial" w:hint="eastAsia"/>
                <w:kern w:val="0"/>
                <w:sz w:val="24"/>
                <w:szCs w:val="22"/>
              </w:rPr>
              <w:t>2</w:t>
            </w:r>
          </w:p>
        </w:tc>
        <w:tc>
          <w:tcPr>
            <w:tcW w:w="1741"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4028"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356" w:type="dxa"/>
            <w:tcBorders>
              <w:top w:val="single" w:sz="4" w:space="0" w:color="000000"/>
              <w:left w:val="single" w:sz="4" w:space="0" w:color="000000"/>
              <w:bottom w:val="single" w:sz="4" w:space="0" w:color="000000"/>
              <w:right w:val="nil"/>
            </w:tcBorders>
            <w:vAlign w:val="center"/>
          </w:tcPr>
          <w:p w:rsidR="00454B96" w:rsidRDefault="00454B96" w:rsidP="000E7A53">
            <w:pPr>
              <w:spacing w:line="600" w:lineRule="exact"/>
              <w:jc w:val="center"/>
              <w:rPr>
                <w:rFonts w:ascii="仿宋_GB2312" w:hAnsi="Calibri" w:cs="Arial"/>
                <w:kern w:val="0"/>
                <w:sz w:val="24"/>
                <w:szCs w:val="22"/>
              </w:rPr>
            </w:pPr>
          </w:p>
        </w:tc>
      </w:tr>
      <w:tr w:rsidR="00454B96" w:rsidTr="000E7A53">
        <w:tc>
          <w:tcPr>
            <w:tcW w:w="1270" w:type="dxa"/>
            <w:tcBorders>
              <w:top w:val="single" w:sz="4" w:space="0" w:color="000000"/>
              <w:left w:val="nil"/>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r>
              <w:rPr>
                <w:rFonts w:ascii="仿宋_GB2312" w:hAnsi="仿宋_GB2312" w:cs="Arial" w:hint="eastAsia"/>
                <w:kern w:val="0"/>
                <w:sz w:val="24"/>
                <w:szCs w:val="22"/>
              </w:rPr>
              <w:t>3</w:t>
            </w:r>
          </w:p>
        </w:tc>
        <w:tc>
          <w:tcPr>
            <w:tcW w:w="1741"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4028"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356" w:type="dxa"/>
            <w:tcBorders>
              <w:top w:val="single" w:sz="4" w:space="0" w:color="000000"/>
              <w:left w:val="single" w:sz="4" w:space="0" w:color="000000"/>
              <w:bottom w:val="single" w:sz="4" w:space="0" w:color="000000"/>
              <w:right w:val="nil"/>
            </w:tcBorders>
            <w:vAlign w:val="center"/>
          </w:tcPr>
          <w:p w:rsidR="00454B96" w:rsidRDefault="00454B96" w:rsidP="000E7A53">
            <w:pPr>
              <w:spacing w:line="600" w:lineRule="exact"/>
              <w:jc w:val="center"/>
              <w:rPr>
                <w:rFonts w:ascii="仿宋_GB2312" w:hAnsi="Calibri" w:cs="Arial"/>
                <w:kern w:val="0"/>
                <w:sz w:val="24"/>
                <w:szCs w:val="22"/>
              </w:rPr>
            </w:pPr>
          </w:p>
        </w:tc>
      </w:tr>
      <w:tr w:rsidR="00454B96" w:rsidTr="000E7A53">
        <w:tc>
          <w:tcPr>
            <w:tcW w:w="1270" w:type="dxa"/>
            <w:tcBorders>
              <w:top w:val="single" w:sz="4" w:space="0" w:color="000000"/>
              <w:left w:val="nil"/>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r>
              <w:rPr>
                <w:rFonts w:ascii="仿宋_GB2312" w:hAnsi="仿宋_GB2312" w:cs="Arial" w:hint="eastAsia"/>
                <w:kern w:val="0"/>
                <w:sz w:val="24"/>
                <w:szCs w:val="22"/>
              </w:rPr>
              <w:t>……</w:t>
            </w:r>
          </w:p>
        </w:tc>
        <w:tc>
          <w:tcPr>
            <w:tcW w:w="1741"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4028" w:type="dxa"/>
            <w:tcBorders>
              <w:top w:val="single" w:sz="4" w:space="0" w:color="000000"/>
              <w:left w:val="single" w:sz="4" w:space="0" w:color="000000"/>
              <w:bottom w:val="single" w:sz="4"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356" w:type="dxa"/>
            <w:tcBorders>
              <w:top w:val="single" w:sz="4" w:space="0" w:color="000000"/>
              <w:left w:val="single" w:sz="4" w:space="0" w:color="000000"/>
              <w:bottom w:val="single" w:sz="4" w:space="0" w:color="000000"/>
              <w:right w:val="nil"/>
            </w:tcBorders>
            <w:vAlign w:val="center"/>
          </w:tcPr>
          <w:p w:rsidR="00454B96" w:rsidRDefault="00454B96" w:rsidP="000E7A53">
            <w:pPr>
              <w:spacing w:line="600" w:lineRule="exact"/>
              <w:jc w:val="center"/>
              <w:rPr>
                <w:rFonts w:ascii="仿宋_GB2312" w:hAnsi="Calibri" w:cs="Arial"/>
                <w:kern w:val="0"/>
                <w:sz w:val="24"/>
                <w:szCs w:val="22"/>
              </w:rPr>
            </w:pPr>
          </w:p>
        </w:tc>
      </w:tr>
      <w:tr w:rsidR="00454B96" w:rsidTr="000E7A53">
        <w:tc>
          <w:tcPr>
            <w:tcW w:w="1270" w:type="dxa"/>
            <w:tcBorders>
              <w:top w:val="single" w:sz="4" w:space="0" w:color="000000"/>
              <w:left w:val="nil"/>
              <w:bottom w:val="single" w:sz="8"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r>
              <w:rPr>
                <w:rFonts w:ascii="仿宋_GB2312" w:hAnsi="仿宋_GB2312" w:cs="Arial" w:hint="eastAsia"/>
                <w:kern w:val="0"/>
                <w:sz w:val="24"/>
                <w:szCs w:val="22"/>
              </w:rPr>
              <w:t>……</w:t>
            </w:r>
          </w:p>
        </w:tc>
        <w:tc>
          <w:tcPr>
            <w:tcW w:w="1741" w:type="dxa"/>
            <w:tcBorders>
              <w:top w:val="single" w:sz="4" w:space="0" w:color="000000"/>
              <w:left w:val="single" w:sz="4" w:space="0" w:color="000000"/>
              <w:bottom w:val="single" w:sz="8"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174" w:type="dxa"/>
            <w:tcBorders>
              <w:top w:val="single" w:sz="4" w:space="0" w:color="000000"/>
              <w:left w:val="single" w:sz="4" w:space="0" w:color="000000"/>
              <w:bottom w:val="single" w:sz="8"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605" w:type="dxa"/>
            <w:tcBorders>
              <w:top w:val="single" w:sz="4" w:space="0" w:color="000000"/>
              <w:left w:val="single" w:sz="4" w:space="0" w:color="000000"/>
              <w:bottom w:val="single" w:sz="8"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4028" w:type="dxa"/>
            <w:tcBorders>
              <w:top w:val="single" w:sz="4" w:space="0" w:color="000000"/>
              <w:left w:val="single" w:sz="4" w:space="0" w:color="000000"/>
              <w:bottom w:val="single" w:sz="8" w:space="0" w:color="000000"/>
              <w:right w:val="single" w:sz="4" w:space="0" w:color="000000"/>
            </w:tcBorders>
            <w:vAlign w:val="center"/>
          </w:tcPr>
          <w:p w:rsidR="00454B96" w:rsidRDefault="00454B96" w:rsidP="000E7A53">
            <w:pPr>
              <w:spacing w:line="600" w:lineRule="exact"/>
              <w:jc w:val="center"/>
              <w:rPr>
                <w:rFonts w:ascii="仿宋_GB2312" w:hAnsi="Calibri" w:cs="Arial"/>
                <w:kern w:val="0"/>
                <w:sz w:val="24"/>
                <w:szCs w:val="22"/>
              </w:rPr>
            </w:pPr>
          </w:p>
        </w:tc>
        <w:tc>
          <w:tcPr>
            <w:tcW w:w="2356" w:type="dxa"/>
            <w:tcBorders>
              <w:top w:val="single" w:sz="4" w:space="0" w:color="000000"/>
              <w:left w:val="single" w:sz="4" w:space="0" w:color="000000"/>
              <w:bottom w:val="single" w:sz="8" w:space="0" w:color="000000"/>
              <w:right w:val="nil"/>
            </w:tcBorders>
            <w:vAlign w:val="center"/>
          </w:tcPr>
          <w:p w:rsidR="00454B96" w:rsidRDefault="00454B96" w:rsidP="000E7A53">
            <w:pPr>
              <w:spacing w:line="600" w:lineRule="exact"/>
              <w:jc w:val="center"/>
              <w:rPr>
                <w:rFonts w:ascii="仿宋_GB2312" w:eastAsia="仿宋" w:hAnsi="仿宋_GB2312" w:cs="Arial"/>
                <w:kern w:val="0"/>
                <w:sz w:val="24"/>
                <w:szCs w:val="22"/>
              </w:rPr>
            </w:pPr>
          </w:p>
        </w:tc>
      </w:tr>
    </w:tbl>
    <w:p w:rsidR="00454B96" w:rsidRDefault="00454B96" w:rsidP="00821A28">
      <w:pPr>
        <w:ind w:leftChars="-85" w:left="-309" w:rightChars="-159" w:right="-578"/>
        <w:jc w:val="left"/>
        <w:rPr>
          <w:rFonts w:ascii="Calibri" w:hAnsi="Calibri" w:cs="Arial"/>
          <w:kern w:val="0"/>
          <w:sz w:val="24"/>
          <w:szCs w:val="22"/>
        </w:rPr>
      </w:pPr>
      <w:r>
        <w:rPr>
          <w:rFonts w:ascii="Calibri" w:hAnsi="Calibri" w:cs="Arial" w:hint="eastAsia"/>
          <w:kern w:val="0"/>
          <w:sz w:val="24"/>
          <w:szCs w:val="22"/>
        </w:rPr>
        <w:t xml:space="preserve">分管负责人：　　</w:t>
      </w:r>
      <w:r>
        <w:rPr>
          <w:rFonts w:ascii="Calibri" w:hAnsi="Calibri" w:cs="Arial"/>
          <w:kern w:val="0"/>
          <w:sz w:val="24"/>
          <w:szCs w:val="22"/>
        </w:rPr>
        <w:t xml:space="preserve">                    </w:t>
      </w:r>
      <w:r>
        <w:rPr>
          <w:rFonts w:ascii="Calibri" w:hAnsi="Calibri" w:cs="Arial" w:hint="eastAsia"/>
          <w:kern w:val="0"/>
          <w:sz w:val="24"/>
          <w:szCs w:val="22"/>
        </w:rPr>
        <w:t xml:space="preserve">填表人：　</w:t>
      </w:r>
      <w:r>
        <w:rPr>
          <w:rFonts w:ascii="Calibri" w:hAnsi="Calibri" w:cs="Arial"/>
          <w:kern w:val="0"/>
          <w:sz w:val="24"/>
          <w:szCs w:val="22"/>
        </w:rPr>
        <w:t xml:space="preserve">                 </w:t>
      </w:r>
      <w:r>
        <w:rPr>
          <w:rFonts w:ascii="Calibri" w:hAnsi="Calibri" w:cs="Arial" w:hint="eastAsia"/>
          <w:kern w:val="0"/>
          <w:sz w:val="24"/>
          <w:szCs w:val="22"/>
        </w:rPr>
        <w:t>填表人电话：</w:t>
      </w:r>
      <w:r>
        <w:rPr>
          <w:rFonts w:ascii="Calibri" w:hAnsi="Calibri" w:cs="Arial"/>
          <w:kern w:val="0"/>
          <w:sz w:val="24"/>
          <w:szCs w:val="22"/>
        </w:rPr>
        <w:t xml:space="preserve">   </w:t>
      </w:r>
      <w:r>
        <w:rPr>
          <w:rFonts w:ascii="Calibri" w:hAnsi="Calibri" w:cs="Arial" w:hint="eastAsia"/>
          <w:kern w:val="0"/>
          <w:sz w:val="24"/>
          <w:szCs w:val="22"/>
        </w:rPr>
        <w:t xml:space="preserve">　</w:t>
      </w:r>
      <w:r>
        <w:rPr>
          <w:rFonts w:ascii="Calibri" w:hAnsi="Calibri" w:cs="Arial"/>
          <w:kern w:val="0"/>
          <w:sz w:val="24"/>
          <w:szCs w:val="22"/>
        </w:rPr>
        <w:t xml:space="preserve">            </w:t>
      </w:r>
      <w:r>
        <w:rPr>
          <w:rFonts w:ascii="Calibri" w:hAnsi="Calibri" w:cs="Arial" w:hint="eastAsia"/>
          <w:kern w:val="0"/>
          <w:sz w:val="24"/>
          <w:szCs w:val="22"/>
        </w:rPr>
        <w:t xml:space="preserve">　填表日期：</w:t>
      </w:r>
      <w:r>
        <w:rPr>
          <w:rFonts w:ascii="Calibri" w:hAnsi="Calibri" w:cs="Arial"/>
          <w:kern w:val="0"/>
          <w:sz w:val="24"/>
          <w:szCs w:val="22"/>
        </w:rPr>
        <w:t xml:space="preserve">  </w:t>
      </w:r>
      <w:r>
        <w:rPr>
          <w:rFonts w:ascii="Calibri" w:hAnsi="Calibri" w:cs="Arial" w:hint="eastAsia"/>
          <w:kern w:val="0"/>
          <w:sz w:val="24"/>
          <w:szCs w:val="22"/>
        </w:rPr>
        <w:t>年</w:t>
      </w:r>
      <w:r>
        <w:rPr>
          <w:rFonts w:ascii="Calibri" w:hAnsi="Calibri" w:cs="Arial"/>
          <w:kern w:val="0"/>
          <w:sz w:val="24"/>
          <w:szCs w:val="22"/>
        </w:rPr>
        <w:t xml:space="preserve">  </w:t>
      </w:r>
      <w:r>
        <w:rPr>
          <w:rFonts w:ascii="Calibri" w:hAnsi="Calibri" w:cs="Arial" w:hint="eastAsia"/>
          <w:kern w:val="0"/>
          <w:sz w:val="24"/>
          <w:szCs w:val="22"/>
        </w:rPr>
        <w:t>月</w:t>
      </w:r>
      <w:r>
        <w:rPr>
          <w:rFonts w:ascii="Calibri" w:hAnsi="Calibri" w:cs="Arial"/>
          <w:kern w:val="0"/>
          <w:sz w:val="24"/>
          <w:szCs w:val="22"/>
        </w:rPr>
        <w:t xml:space="preserve">  </w:t>
      </w:r>
      <w:r>
        <w:rPr>
          <w:rFonts w:ascii="Calibri" w:hAnsi="Calibri" w:cs="Arial" w:hint="eastAsia"/>
          <w:kern w:val="0"/>
          <w:sz w:val="24"/>
          <w:szCs w:val="22"/>
        </w:rPr>
        <w:t>日</w:t>
      </w:r>
    </w:p>
    <w:p w:rsidR="00454B96" w:rsidRDefault="00454B96" w:rsidP="00821A28">
      <w:pPr>
        <w:spacing w:line="300" w:lineRule="exact"/>
        <w:ind w:leftChars="-85" w:left="1132" w:rightChars="-159" w:right="-578" w:hangingChars="591" w:hanging="1441"/>
        <w:jc w:val="left"/>
        <w:rPr>
          <w:rFonts w:ascii="Calibri" w:hAnsi="Calibri" w:cs="Arial"/>
          <w:kern w:val="0"/>
          <w:sz w:val="24"/>
          <w:szCs w:val="22"/>
        </w:rPr>
      </w:pPr>
      <w:r>
        <w:rPr>
          <w:rFonts w:ascii="Calibri" w:eastAsia="黑体" w:hAnsi="Calibri" w:cs="Arial" w:hint="eastAsia"/>
          <w:kern w:val="0"/>
          <w:sz w:val="24"/>
          <w:szCs w:val="22"/>
        </w:rPr>
        <w:t>填表说明：</w:t>
      </w:r>
      <w:r>
        <w:rPr>
          <w:rFonts w:ascii="仿宋_GB2312" w:hAnsi="仿宋_GB2312" w:cs="Arial" w:hint="eastAsia"/>
          <w:kern w:val="0"/>
          <w:sz w:val="24"/>
          <w:szCs w:val="22"/>
        </w:rPr>
        <w:t>1.省级煤矿安全监管部门要配合煤矿安全监察机构做好辖区煤矿分类工作，煤矿分类结果由省级煤矿安全监管监察部门共同确定。</w:t>
      </w:r>
    </w:p>
    <w:p w:rsidR="00454B96" w:rsidRDefault="00454B96" w:rsidP="00821A28">
      <w:pPr>
        <w:widowControl/>
        <w:spacing w:line="300" w:lineRule="exact"/>
        <w:ind w:leftChars="150" w:left="546" w:firstLineChars="150" w:firstLine="366"/>
        <w:jc w:val="left"/>
        <w:rPr>
          <w:rFonts w:ascii="仿宋_GB2312" w:hAnsi="仿宋_GB2312" w:cs="Arial"/>
          <w:kern w:val="0"/>
          <w:sz w:val="24"/>
          <w:szCs w:val="22"/>
        </w:rPr>
      </w:pPr>
      <w:r>
        <w:rPr>
          <w:rFonts w:ascii="仿宋_GB2312" w:hAnsi="仿宋_GB2312" w:cs="Arial" w:hint="eastAsia"/>
          <w:kern w:val="0"/>
          <w:sz w:val="24"/>
          <w:szCs w:val="22"/>
        </w:rPr>
        <w:t>2.各级煤矿安全监管部门应明确标注负责直接监管的煤矿名单。</w:t>
      </w:r>
    </w:p>
    <w:p w:rsidR="00454B96" w:rsidRDefault="00454B96" w:rsidP="00821A28">
      <w:pPr>
        <w:widowControl/>
        <w:spacing w:line="300" w:lineRule="exact"/>
        <w:ind w:leftChars="150" w:left="546" w:firstLineChars="150" w:firstLine="366"/>
        <w:jc w:val="left"/>
        <w:rPr>
          <w:rFonts w:ascii="仿宋_GB2312" w:hAnsi="仿宋_GB2312" w:cs="Arial"/>
          <w:kern w:val="0"/>
          <w:sz w:val="24"/>
          <w:szCs w:val="22"/>
        </w:rPr>
      </w:pPr>
      <w:r>
        <w:rPr>
          <w:rFonts w:ascii="仿宋_GB2312" w:hAnsi="仿宋_GB2312" w:cs="Arial" w:hint="eastAsia"/>
          <w:kern w:val="0"/>
          <w:sz w:val="24"/>
          <w:szCs w:val="22"/>
        </w:rPr>
        <w:t>3.根据对辖区煤矿分类的结果，分析灾害特点和安全生产情况，确定各类煤矿的监管重点内容。</w:t>
      </w:r>
    </w:p>
    <w:p w:rsidR="009C5A40" w:rsidRPr="00454B96" w:rsidRDefault="00454B96" w:rsidP="00821A28">
      <w:pPr>
        <w:widowControl/>
        <w:spacing w:line="300" w:lineRule="exact"/>
        <w:ind w:leftChars="150" w:left="546" w:firstLineChars="150" w:firstLine="366"/>
        <w:jc w:val="left"/>
      </w:pPr>
      <w:r>
        <w:rPr>
          <w:rFonts w:ascii="仿宋_GB2312" w:hAnsi="仿宋_GB2312" w:cs="Arial" w:hint="eastAsia"/>
          <w:kern w:val="0"/>
          <w:sz w:val="24"/>
          <w:szCs w:val="22"/>
        </w:rPr>
        <w:t>4.本表各项内容填写后应在左上角加盖填报单位公章。</w:t>
      </w:r>
    </w:p>
    <w:sectPr w:rsidR="009C5A40" w:rsidRPr="00454B96" w:rsidSect="00821A28">
      <w:footerReference w:type="default" r:id="rId6"/>
      <w:pgSz w:w="16838" w:h="11906" w:orient="landscape"/>
      <w:pgMar w:top="1587" w:right="1474" w:bottom="1587" w:left="1701" w:header="851" w:footer="992" w:gutter="0"/>
      <w:cols w:space="720"/>
      <w:docGrid w:type="linesAndChars" w:linePitch="513" w:charSpace="7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B96" w:rsidRDefault="00454B96" w:rsidP="00454B96">
      <w:r>
        <w:separator/>
      </w:r>
    </w:p>
  </w:endnote>
  <w:endnote w:type="continuationSeparator" w:id="0">
    <w:p w:rsidR="00454B96" w:rsidRDefault="00454B96" w:rsidP="00454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6E" w:rsidRDefault="005A32E5">
    <w:pPr>
      <w:pStyle w:val="a4"/>
    </w:pPr>
    <w:r>
      <w:pict>
        <v:shapetype id="_x0000_t202" coordsize="21600,21600" o:spt="202" path="m,l,21600r21600,l21600,xe">
          <v:stroke joinstyle="miter"/>
          <v:path gradientshapeok="t" o:connecttype="rect"/>
        </v:shapetype>
        <v:shape id="文本框 1025" o:spid="_x0000_s1025" type="#_x0000_t202" style="position:absolute;margin-left:0;margin-top:0;width:2in;height:2in;z-index:251660288;mso-wrap-style:none;mso-position-horizontal:center;mso-position-horizontal-relative:margin" filled="f" stroked="f" strokeweight="1.25pt">
          <v:fill o:detectmouseclick="t"/>
          <v:textbox style="mso-fit-shape-to-text:t" inset="0,0,0,0">
            <w:txbxContent>
              <w:p w:rsidR="00776A6E" w:rsidRDefault="005A32E5">
                <w:pPr>
                  <w:pStyle w:val="a4"/>
                  <w:rPr>
                    <w:sz w:val="28"/>
                    <w:szCs w:val="28"/>
                  </w:rPr>
                </w:pPr>
                <w:r>
                  <w:rPr>
                    <w:rFonts w:hint="eastAsia"/>
                    <w:sz w:val="28"/>
                    <w:szCs w:val="28"/>
                  </w:rPr>
                  <w:fldChar w:fldCharType="begin"/>
                </w:r>
                <w:r w:rsidR="00454B96">
                  <w:rPr>
                    <w:rFonts w:hint="eastAsia"/>
                    <w:sz w:val="28"/>
                    <w:szCs w:val="28"/>
                  </w:rPr>
                  <w:instrText xml:space="preserve"> PAGE  \* MERGEFORMAT </w:instrText>
                </w:r>
                <w:r>
                  <w:rPr>
                    <w:rFonts w:hint="eastAsia"/>
                    <w:sz w:val="28"/>
                    <w:szCs w:val="28"/>
                  </w:rPr>
                  <w:fldChar w:fldCharType="separate"/>
                </w:r>
                <w:r w:rsidR="00821A28">
                  <w:rPr>
                    <w:noProof/>
                    <w:sz w:val="28"/>
                    <w:szCs w:val="28"/>
                  </w:rPr>
                  <w:t>1</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B96" w:rsidRDefault="00454B96" w:rsidP="00454B96">
      <w:r>
        <w:separator/>
      </w:r>
    </w:p>
  </w:footnote>
  <w:footnote w:type="continuationSeparator" w:id="0">
    <w:p w:rsidR="00454B96" w:rsidRDefault="00454B96" w:rsidP="00454B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82"/>
  <w:drawingGridVerticalSpacing w:val="513"/>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B96"/>
    <w:rsid w:val="00454B96"/>
    <w:rsid w:val="005A32E5"/>
    <w:rsid w:val="00821A28"/>
    <w:rsid w:val="009C5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96"/>
    <w:pPr>
      <w:widowControl w:val="0"/>
      <w:jc w:val="both"/>
    </w:pPr>
    <w:rPr>
      <w:rFonts w:ascii="Times New Roman" w:eastAsia="仿宋_GB2312" w:hAnsi="Times New Roman"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B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54B96"/>
    <w:rPr>
      <w:sz w:val="18"/>
      <w:szCs w:val="18"/>
    </w:rPr>
  </w:style>
  <w:style w:type="paragraph" w:styleId="a4">
    <w:name w:val="footer"/>
    <w:basedOn w:val="a"/>
    <w:link w:val="Char0"/>
    <w:uiPriority w:val="99"/>
    <w:unhideWhenUsed/>
    <w:rsid w:val="00454B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4B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任锦彪(拟稿)</dc:creator>
  <cp:keywords/>
  <dc:description/>
  <cp:lastModifiedBy>任锦彪(拟稿)</cp:lastModifiedBy>
  <cp:revision>3</cp:revision>
  <dcterms:created xsi:type="dcterms:W3CDTF">2018-09-26T01:26:00Z</dcterms:created>
  <dcterms:modified xsi:type="dcterms:W3CDTF">2018-09-26T01:28:00Z</dcterms:modified>
</cp:coreProperties>
</file>